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6242128B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EB7F54">
        <w:rPr>
          <w:rFonts w:cs="Arial"/>
          <w:b/>
          <w:iCs/>
          <w:sz w:val="24"/>
          <w:szCs w:val="24"/>
        </w:rPr>
        <w:t>R4-1804029</w:t>
      </w:r>
      <w:bookmarkStart w:id="1" w:name="_GoBack"/>
      <w:bookmarkEnd w:id="1"/>
    </w:p>
    <w:p w14:paraId="4F03FE3E" w14:textId="439D3BA8"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7D4B43F2" w:rsidR="0043450E" w:rsidRPr="006B3B32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B3B32" w:rsidRPr="006B3B32">
        <w:rPr>
          <w:sz w:val="22"/>
        </w:rPr>
        <w:t>Notation for NR non-contiguous intraband CA</w:t>
      </w:r>
    </w:p>
    <w:p w14:paraId="23226DA5" w14:textId="18FFBA6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336A2" w:rsidRPr="005336A2">
        <w:rPr>
          <w:b/>
          <w:sz w:val="22"/>
        </w:rPr>
        <w:t>7.1.3.7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E3045C1" w14:textId="77777777" w:rsidR="00786FE3" w:rsidRDefault="00786FE3" w:rsidP="000B5E8E">
      <w:r>
        <w:t>This contribution discusses the CA acronym for non-contiguous intraband CA.</w:t>
      </w:r>
    </w:p>
    <w:p w14:paraId="67FB8FEB" w14:textId="77777777" w:rsidR="00786FE3" w:rsidRDefault="00786FE3" w:rsidP="00786FE3">
      <w:pPr>
        <w:pStyle w:val="Heading1"/>
      </w:pPr>
      <w:r>
        <w:t>2</w:t>
      </w:r>
      <w:r>
        <w:tab/>
        <w:t>Discussion</w:t>
      </w:r>
    </w:p>
    <w:p w14:paraId="0793AC78" w14:textId="40C40719" w:rsidR="00EA3488" w:rsidRDefault="00786FE3" w:rsidP="00786FE3">
      <w:r>
        <w:t>So far in LTE specifications RAN4 has standardized three sub-block configurations for example CA_25A-25A-25A. The acronym is not too a</w:t>
      </w:r>
      <w:r w:rsidR="00D948C5">
        <w:t>wkward compared for example to</w:t>
      </w:r>
      <w:r>
        <w:t xml:space="preserve"> five DL interband CA acronyms like </w:t>
      </w:r>
      <w:r w:rsidRPr="00786FE3">
        <w:t>CA_1A-3A-7A-20A-42A</w:t>
      </w:r>
      <w:r>
        <w:t xml:space="preserve">. But now in NR there are proposals for eight sub-block non-contiguous intraband CA and taking the bands 257 as an example the acronym would be </w:t>
      </w:r>
      <w:r w:rsidRPr="00786FE3">
        <w:t>CA_n257A-n257A-n257A-n257A-n257A-n257A-n257A-n257A</w:t>
      </w:r>
      <w:r>
        <w:t xml:space="preserve"> which is </w:t>
      </w:r>
      <w:r w:rsidR="00D948C5">
        <w:t>rather complex and un-informative.</w:t>
      </w:r>
    </w:p>
    <w:p w14:paraId="3B512964" w14:textId="70957E08" w:rsidR="00D948C5" w:rsidRDefault="00D948C5" w:rsidP="00786FE3">
      <w:r>
        <w:t xml:space="preserve">Hence we propose following notation for </w:t>
      </w:r>
      <w:r w:rsidRPr="00D948C5">
        <w:t>NR non-contiguous intraband CA</w:t>
      </w:r>
      <w:r>
        <w:t xml:space="preserve"> using </w:t>
      </w:r>
      <w:r w:rsidRPr="00786FE3">
        <w:t>CA_n257A-n257A-n257A-n257A-n257A-n257A-n257A-n257A</w:t>
      </w:r>
      <w:r>
        <w:t xml:space="preserve"> as an example.</w:t>
      </w:r>
    </w:p>
    <w:p w14:paraId="0468DF32" w14:textId="085E292A" w:rsidR="00D948C5" w:rsidRPr="00D948C5" w:rsidRDefault="00D948C5" w:rsidP="00D948C5">
      <w:pPr>
        <w:overflowPunct/>
        <w:autoSpaceDE/>
        <w:autoSpaceDN/>
        <w:adjustRightInd/>
        <w:spacing w:after="0"/>
        <w:ind w:firstLine="284"/>
        <w:textAlignment w:val="auto"/>
        <w:rPr>
          <w:rFonts w:ascii="Arial" w:hAnsi="Arial" w:cs="Arial"/>
          <w:bCs/>
          <w:color w:val="000000"/>
          <w:sz w:val="22"/>
          <w:szCs w:val="18"/>
          <w:lang w:val="en-US" w:eastAsia="fi-FI"/>
        </w:rPr>
      </w:pPr>
      <w:r w:rsidRPr="00D948C5">
        <w:rPr>
          <w:rFonts w:ascii="Arial" w:hAnsi="Arial" w:cs="Arial"/>
          <w:b/>
          <w:bCs/>
          <w:color w:val="000000"/>
          <w:sz w:val="22"/>
          <w:szCs w:val="18"/>
          <w:lang w:val="en-US" w:eastAsia="fi-FI"/>
        </w:rPr>
        <w:t xml:space="preserve">CA_n257(8xA) </w:t>
      </w:r>
    </w:p>
    <w:p w14:paraId="4D9976B8" w14:textId="136C431E" w:rsidR="00D948C5" w:rsidRPr="00D948C5" w:rsidRDefault="00D948C5" w:rsidP="00D948C5">
      <w:pPr>
        <w:overflowPunct/>
        <w:autoSpaceDE/>
        <w:autoSpaceDN/>
        <w:adjustRightInd/>
        <w:spacing w:after="0"/>
        <w:ind w:firstLine="284"/>
        <w:textAlignment w:val="auto"/>
        <w:rPr>
          <w:rFonts w:ascii="Arial" w:hAnsi="Arial" w:cs="Arial"/>
          <w:b/>
          <w:bCs/>
          <w:color w:val="000000"/>
          <w:sz w:val="18"/>
          <w:szCs w:val="18"/>
          <w:lang w:val="en-US" w:eastAsia="fi-FI"/>
        </w:rPr>
      </w:pPr>
    </w:p>
    <w:p w14:paraId="3B579A4F" w14:textId="77777777" w:rsidR="00D948C5" w:rsidRPr="00D948C5" w:rsidRDefault="00D948C5" w:rsidP="00D948C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color w:val="000000"/>
          <w:sz w:val="18"/>
          <w:szCs w:val="18"/>
          <w:lang w:val="en-US" w:eastAsia="fi-FI"/>
        </w:rPr>
      </w:pPr>
    </w:p>
    <w:p w14:paraId="339945CD" w14:textId="4C9D13CE" w:rsidR="00D948C5" w:rsidRDefault="00D948C5" w:rsidP="00786FE3">
      <w:pPr>
        <w:rPr>
          <w:lang w:val="en-US"/>
        </w:rPr>
      </w:pPr>
      <w:r>
        <w:rPr>
          <w:lang w:val="en-US"/>
        </w:rPr>
        <w:t xml:space="preserve">In case of </w:t>
      </w:r>
      <w:r w:rsidRPr="00D948C5">
        <w:t>non-contiguous intraband CA</w:t>
      </w:r>
      <w:r>
        <w:t xml:space="preserve"> </w:t>
      </w:r>
      <w:r>
        <w:rPr>
          <w:lang w:val="en-US"/>
        </w:rPr>
        <w:t xml:space="preserve">combinations which have different CA classes in sub-blocks like </w:t>
      </w:r>
      <w:r w:rsidR="009300DC">
        <w:rPr>
          <w:lang w:val="en-US"/>
        </w:rPr>
        <w:t>CA_n257A-n257A-n257A-n257C</w:t>
      </w:r>
      <w:r>
        <w:rPr>
          <w:lang w:val="en-US"/>
        </w:rPr>
        <w:t xml:space="preserve"> </w:t>
      </w:r>
      <w:r w:rsidR="009300DC">
        <w:rPr>
          <w:lang w:val="en-US"/>
        </w:rPr>
        <w:t xml:space="preserve">we propose to follow LTE approach and only assign one acronym to cover all cases. As in LTE A+C and C+A are both mapped under A+C as an example check  for-example </w:t>
      </w:r>
      <w:r w:rsidR="009300DC" w:rsidRPr="009300DC">
        <w:rPr>
          <w:lang w:val="en-US"/>
        </w:rPr>
        <w:t>CA_40A-40C</w:t>
      </w:r>
      <w:r w:rsidR="009300DC">
        <w:rPr>
          <w:lang w:val="en-US"/>
        </w:rPr>
        <w:t xml:space="preserve"> in Table </w:t>
      </w:r>
      <w:r w:rsidR="009300DC" w:rsidRPr="009300DC">
        <w:rPr>
          <w:lang w:val="en-US"/>
        </w:rPr>
        <w:t>5.6A.1-3</w:t>
      </w:r>
      <w:r w:rsidR="009300DC">
        <w:rPr>
          <w:lang w:val="en-US"/>
        </w:rPr>
        <w:t xml:space="preserve"> of 36.101. So as an example C+A+A+A, A+C+A+A, A+A+C+A and A+A+A+C would belong to same CA configuration and the acronym would be </w:t>
      </w:r>
    </w:p>
    <w:p w14:paraId="410DB481" w14:textId="311B0B2B" w:rsidR="009300DC" w:rsidRPr="009300DC" w:rsidRDefault="009300DC" w:rsidP="009300DC">
      <w:pPr>
        <w:overflowPunct/>
        <w:autoSpaceDE/>
        <w:autoSpaceDN/>
        <w:adjustRightInd/>
        <w:spacing w:after="0"/>
        <w:ind w:firstLine="284"/>
        <w:textAlignment w:val="auto"/>
        <w:rPr>
          <w:rFonts w:ascii="Arial" w:hAnsi="Arial" w:cs="Arial"/>
          <w:b/>
          <w:bCs/>
          <w:color w:val="000000"/>
          <w:sz w:val="22"/>
          <w:szCs w:val="18"/>
          <w:lang w:val="en-US" w:eastAsia="fi-FI"/>
        </w:rPr>
      </w:pPr>
      <w:r w:rsidRPr="009300DC">
        <w:rPr>
          <w:rFonts w:ascii="Arial" w:hAnsi="Arial" w:cs="Arial"/>
          <w:b/>
          <w:bCs/>
          <w:color w:val="000000"/>
          <w:sz w:val="22"/>
          <w:szCs w:val="18"/>
          <w:lang w:val="en-US" w:eastAsia="fi-FI"/>
        </w:rPr>
        <w:t>CA_nX(3xA-C)</w:t>
      </w:r>
    </w:p>
    <w:p w14:paraId="77C5407D" w14:textId="6547E608" w:rsidR="00D948C5" w:rsidRDefault="00D948C5" w:rsidP="00D948C5">
      <w:pPr>
        <w:overflowPunct/>
        <w:autoSpaceDE/>
        <w:autoSpaceDN/>
        <w:adjustRightInd/>
        <w:spacing w:after="0"/>
        <w:ind w:firstLine="284"/>
        <w:textAlignment w:val="auto"/>
        <w:rPr>
          <w:rFonts w:ascii="Arial" w:hAnsi="Arial" w:cs="Arial"/>
          <w:b/>
          <w:bCs/>
          <w:color w:val="000000"/>
          <w:sz w:val="22"/>
          <w:szCs w:val="18"/>
          <w:lang w:val="en-US" w:eastAsia="fi-FI"/>
        </w:rPr>
      </w:pPr>
    </w:p>
    <w:p w14:paraId="75DA50C6" w14:textId="68E28952" w:rsidR="00D948C5" w:rsidRDefault="00D948C5" w:rsidP="00D948C5">
      <w:pPr>
        <w:rPr>
          <w:lang w:val="en-US" w:eastAsia="fi-FI"/>
        </w:rPr>
      </w:pPr>
      <w:r>
        <w:rPr>
          <w:lang w:val="en-US" w:eastAsia="fi-FI"/>
        </w:rPr>
        <w:t>Two examples above should be self-explanatory hence no general notation is presented here as it would be more confusing than helping.</w:t>
      </w:r>
    </w:p>
    <w:p w14:paraId="55BB05D9" w14:textId="04CF4D79" w:rsidR="00FA02A6" w:rsidRPr="00FA02A6" w:rsidRDefault="00FA02A6" w:rsidP="00D948C5">
      <w:pPr>
        <w:rPr>
          <w:b/>
          <w:lang w:val="en-US" w:eastAsia="fi-FI"/>
        </w:rPr>
      </w:pPr>
      <w:r>
        <w:rPr>
          <w:b/>
          <w:lang w:val="en-US" w:eastAsia="fi-FI"/>
        </w:rPr>
        <w:t>Proposal 1:</w:t>
      </w:r>
      <w:r w:rsidRPr="00FA02A6">
        <w:rPr>
          <w:lang w:val="en-US"/>
        </w:rPr>
        <w:t xml:space="preserve"> </w:t>
      </w:r>
      <w:r w:rsidRPr="00FA02A6">
        <w:rPr>
          <w:b/>
          <w:lang w:val="en-US"/>
        </w:rPr>
        <w:t xml:space="preserve">In case of </w:t>
      </w:r>
      <w:r w:rsidRPr="00FA02A6">
        <w:rPr>
          <w:b/>
        </w:rPr>
        <w:t xml:space="preserve">non-contiguous intraband CA </w:t>
      </w:r>
      <w:r w:rsidRPr="00FA02A6">
        <w:rPr>
          <w:b/>
          <w:lang w:val="en-US"/>
        </w:rPr>
        <w:t>combinations which have differe</w:t>
      </w:r>
      <w:r>
        <w:rPr>
          <w:b/>
          <w:lang w:val="en-US"/>
        </w:rPr>
        <w:t xml:space="preserve">nt CA BW classes in sub-blocks </w:t>
      </w:r>
      <w:r w:rsidRPr="00FA02A6">
        <w:rPr>
          <w:b/>
          <w:lang w:val="en-US"/>
        </w:rPr>
        <w:t>only assign one acronym to cover all cases</w:t>
      </w:r>
      <w:r>
        <w:rPr>
          <w:b/>
          <w:lang w:val="en-US"/>
        </w:rPr>
        <w:t>. A</w:t>
      </w:r>
      <w:r w:rsidRPr="00FA02A6">
        <w:rPr>
          <w:b/>
          <w:lang w:val="en-US"/>
        </w:rPr>
        <w:t>s an example C+A+A+A, A+C+A+A, A+A+C+A and A+A+A+C would belong to same CA configuration</w:t>
      </w:r>
      <w:r>
        <w:rPr>
          <w:b/>
          <w:lang w:val="en-US"/>
        </w:rPr>
        <w:t xml:space="preserve"> and have same</w:t>
      </w:r>
      <w:r w:rsidRPr="00FA02A6">
        <w:rPr>
          <w:b/>
          <w:lang w:val="en-US"/>
        </w:rPr>
        <w:t xml:space="preserve"> acronym.</w:t>
      </w:r>
    </w:p>
    <w:p w14:paraId="6756F61F" w14:textId="70061448" w:rsidR="00D948C5" w:rsidRDefault="00D948C5" w:rsidP="00D948C5">
      <w:pPr>
        <w:rPr>
          <w:b/>
          <w:lang w:val="en-US" w:eastAsia="fi-FI"/>
        </w:rPr>
      </w:pPr>
      <w:r w:rsidRPr="00D948C5">
        <w:rPr>
          <w:b/>
          <w:lang w:val="en-US" w:eastAsia="fi-FI"/>
        </w:rPr>
        <w:t>Proposal</w:t>
      </w:r>
      <w:r w:rsidR="00FA02A6">
        <w:rPr>
          <w:b/>
          <w:lang w:val="en-US" w:eastAsia="fi-FI"/>
        </w:rPr>
        <w:t xml:space="preserve"> 2</w:t>
      </w:r>
      <w:r w:rsidRPr="00D948C5">
        <w:rPr>
          <w:b/>
          <w:lang w:val="en-US" w:eastAsia="fi-FI"/>
        </w:rPr>
        <w:t>:</w:t>
      </w:r>
      <w:r>
        <w:rPr>
          <w:b/>
          <w:lang w:val="en-US" w:eastAsia="fi-FI"/>
        </w:rPr>
        <w:t xml:space="preserve"> Use </w:t>
      </w:r>
      <w:r w:rsidR="00310CCA">
        <w:rPr>
          <w:b/>
          <w:lang w:val="en-US" w:eastAsia="fi-FI"/>
        </w:rPr>
        <w:t xml:space="preserve">notation as presented below for </w:t>
      </w:r>
      <w:r w:rsidR="00310CCA" w:rsidRPr="00310CCA">
        <w:rPr>
          <w:b/>
          <w:lang w:val="en-US" w:eastAsia="fi-FI"/>
        </w:rPr>
        <w:t>NR non-contiguous intraband CA</w:t>
      </w:r>
      <w:r w:rsidR="00310CCA">
        <w:rPr>
          <w:b/>
          <w:lang w:val="en-US" w:eastAsia="fi-FI"/>
        </w:rPr>
        <w:t xml:space="preserve"> (band n257 just an example)</w:t>
      </w:r>
    </w:p>
    <w:p w14:paraId="24C2E2E3" w14:textId="69BCBEAB" w:rsidR="00310CCA" w:rsidRDefault="00310CCA" w:rsidP="00310CCA">
      <w:pPr>
        <w:pStyle w:val="ListParagraph"/>
        <w:numPr>
          <w:ilvl w:val="0"/>
          <w:numId w:val="7"/>
        </w:numPr>
        <w:rPr>
          <w:b/>
          <w:lang w:val="en-US" w:eastAsia="fi-FI"/>
        </w:rPr>
      </w:pPr>
      <w:r w:rsidRPr="00310CCA">
        <w:rPr>
          <w:b/>
          <w:lang w:val="en-US" w:eastAsia="fi-FI"/>
        </w:rPr>
        <w:t>CA_n257(8xA)</w:t>
      </w:r>
      <w:r>
        <w:rPr>
          <w:b/>
          <w:lang w:val="en-US" w:eastAsia="fi-FI"/>
        </w:rPr>
        <w:tab/>
        <w:t xml:space="preserve"> (which is 8 sub-blocks, all one CC)</w:t>
      </w:r>
    </w:p>
    <w:p w14:paraId="64787565" w14:textId="6DEBCED8" w:rsidR="00310CCA" w:rsidRDefault="009300DC" w:rsidP="009300DC">
      <w:pPr>
        <w:pStyle w:val="ListParagraph"/>
        <w:numPr>
          <w:ilvl w:val="0"/>
          <w:numId w:val="7"/>
        </w:numPr>
        <w:rPr>
          <w:b/>
          <w:lang w:val="en-US" w:eastAsia="fi-FI"/>
        </w:rPr>
      </w:pPr>
      <w:r w:rsidRPr="009300DC">
        <w:rPr>
          <w:b/>
          <w:lang w:val="en-US" w:eastAsia="fi-FI"/>
        </w:rPr>
        <w:t>CA_n</w:t>
      </w:r>
      <w:r w:rsidR="00FA02A6">
        <w:rPr>
          <w:b/>
          <w:lang w:val="en-US" w:eastAsia="fi-FI"/>
        </w:rPr>
        <w:t>257</w:t>
      </w:r>
      <w:r w:rsidRPr="009300DC">
        <w:rPr>
          <w:b/>
          <w:lang w:val="en-US" w:eastAsia="fi-FI"/>
        </w:rPr>
        <w:t xml:space="preserve">(3xA-C) </w:t>
      </w:r>
      <w:r w:rsidR="00310CCA">
        <w:rPr>
          <w:b/>
          <w:lang w:val="en-US" w:eastAsia="fi-FI"/>
        </w:rPr>
        <w:t>(which is 4 sub-blocks, three sub-blocks having 1 CC and one sublock having 2 contiguous CC’s</w:t>
      </w:r>
      <w:r w:rsidR="00FA02A6">
        <w:rPr>
          <w:b/>
          <w:lang w:val="en-US" w:eastAsia="fi-FI"/>
        </w:rPr>
        <w:t xml:space="preserve"> and order of cub-blocks is free</w:t>
      </w:r>
      <w:r w:rsidR="00310CCA">
        <w:rPr>
          <w:b/>
          <w:lang w:val="en-US" w:eastAsia="fi-FI"/>
        </w:rPr>
        <w:t xml:space="preserve">) </w:t>
      </w:r>
    </w:p>
    <w:p w14:paraId="6A7B5D29" w14:textId="0D74C800" w:rsidR="00310CCA" w:rsidRDefault="00310CCA" w:rsidP="00310CCA">
      <w:pPr>
        <w:pStyle w:val="Heading1"/>
        <w:rPr>
          <w:lang w:val="en-US" w:eastAsia="fi-FI"/>
        </w:rPr>
      </w:pPr>
      <w:r>
        <w:rPr>
          <w:lang w:val="en-US" w:eastAsia="fi-FI"/>
        </w:rPr>
        <w:t>3</w:t>
      </w:r>
      <w:r>
        <w:rPr>
          <w:lang w:val="en-US" w:eastAsia="fi-FI"/>
        </w:rPr>
        <w:tab/>
        <w:t>Conclusion</w:t>
      </w:r>
    </w:p>
    <w:p w14:paraId="54296644" w14:textId="2BFEC903" w:rsidR="00310CCA" w:rsidRDefault="00310CCA" w:rsidP="00310CCA">
      <w:r>
        <w:rPr>
          <w:lang w:val="en-US" w:eastAsia="fi-FI"/>
        </w:rPr>
        <w:t xml:space="preserve">In this contribution we have made proposal how to make notation for </w:t>
      </w:r>
      <w:r w:rsidRPr="00D948C5">
        <w:t>NR non-contiguous intraband CA</w:t>
      </w:r>
      <w:r>
        <w:t>.</w:t>
      </w:r>
    </w:p>
    <w:p w14:paraId="7849A704" w14:textId="4A5DECB7" w:rsidR="00FA02A6" w:rsidRPr="00FA02A6" w:rsidRDefault="00FA02A6" w:rsidP="00FA02A6">
      <w:pPr>
        <w:rPr>
          <w:b/>
          <w:lang w:val="en-US" w:eastAsia="fi-FI"/>
        </w:rPr>
      </w:pPr>
      <w:r>
        <w:rPr>
          <w:b/>
          <w:lang w:val="en-US" w:eastAsia="fi-FI"/>
        </w:rPr>
        <w:lastRenderedPageBreak/>
        <w:t>Proposal 1:</w:t>
      </w:r>
      <w:r w:rsidRPr="00FA02A6">
        <w:rPr>
          <w:lang w:val="en-US"/>
        </w:rPr>
        <w:t xml:space="preserve"> </w:t>
      </w:r>
      <w:r w:rsidRPr="00FA02A6">
        <w:rPr>
          <w:b/>
          <w:lang w:val="en-US"/>
        </w:rPr>
        <w:t xml:space="preserve">In case of </w:t>
      </w:r>
      <w:r w:rsidRPr="00FA02A6">
        <w:rPr>
          <w:b/>
        </w:rPr>
        <w:t xml:space="preserve">non-contiguous intraband CA </w:t>
      </w:r>
      <w:r w:rsidRPr="00FA02A6">
        <w:rPr>
          <w:b/>
          <w:lang w:val="en-US"/>
        </w:rPr>
        <w:t>combinations which have differe</w:t>
      </w:r>
      <w:r>
        <w:rPr>
          <w:b/>
          <w:lang w:val="en-US"/>
        </w:rPr>
        <w:t xml:space="preserve">nt CA BW classes in sub-blocks </w:t>
      </w:r>
      <w:r w:rsidRPr="00FA02A6">
        <w:rPr>
          <w:b/>
          <w:lang w:val="en-US"/>
        </w:rPr>
        <w:t>only assign one acronym to cover all cases</w:t>
      </w:r>
      <w:r>
        <w:rPr>
          <w:b/>
          <w:lang w:val="en-US"/>
        </w:rPr>
        <w:t>. A</w:t>
      </w:r>
      <w:r w:rsidRPr="00FA02A6">
        <w:rPr>
          <w:b/>
          <w:lang w:val="en-US"/>
        </w:rPr>
        <w:t>s an example C+A+A+A, A+C+A+A, A+A+C+A and A+A+A+C would belong to same CA configuration</w:t>
      </w:r>
      <w:r>
        <w:rPr>
          <w:b/>
          <w:lang w:val="en-US"/>
        </w:rPr>
        <w:t xml:space="preserve"> and have same</w:t>
      </w:r>
      <w:r w:rsidRPr="00FA02A6">
        <w:rPr>
          <w:b/>
          <w:lang w:val="en-US"/>
        </w:rPr>
        <w:t xml:space="preserve"> acronym.</w:t>
      </w:r>
    </w:p>
    <w:p w14:paraId="3C993B84" w14:textId="77777777" w:rsidR="00FA02A6" w:rsidRDefault="00FA02A6" w:rsidP="00FA02A6">
      <w:pPr>
        <w:rPr>
          <w:b/>
          <w:lang w:val="en-US" w:eastAsia="fi-FI"/>
        </w:rPr>
      </w:pPr>
      <w:r w:rsidRPr="00D948C5">
        <w:rPr>
          <w:b/>
          <w:lang w:val="en-US" w:eastAsia="fi-FI"/>
        </w:rPr>
        <w:t>Proposal</w:t>
      </w:r>
      <w:r>
        <w:rPr>
          <w:b/>
          <w:lang w:val="en-US" w:eastAsia="fi-FI"/>
        </w:rPr>
        <w:t xml:space="preserve"> 2</w:t>
      </w:r>
      <w:r w:rsidRPr="00D948C5">
        <w:rPr>
          <w:b/>
          <w:lang w:val="en-US" w:eastAsia="fi-FI"/>
        </w:rPr>
        <w:t>:</w:t>
      </w:r>
      <w:r>
        <w:rPr>
          <w:b/>
          <w:lang w:val="en-US" w:eastAsia="fi-FI"/>
        </w:rPr>
        <w:t xml:space="preserve"> Use notation as presented below for </w:t>
      </w:r>
      <w:r w:rsidRPr="00310CCA">
        <w:rPr>
          <w:b/>
          <w:lang w:val="en-US" w:eastAsia="fi-FI"/>
        </w:rPr>
        <w:t>NR non-contiguous intraband CA</w:t>
      </w:r>
      <w:r>
        <w:rPr>
          <w:b/>
          <w:lang w:val="en-US" w:eastAsia="fi-FI"/>
        </w:rPr>
        <w:t xml:space="preserve"> (band n257 just an example)</w:t>
      </w:r>
    </w:p>
    <w:p w14:paraId="5D8D028E" w14:textId="77777777" w:rsidR="00FA02A6" w:rsidRDefault="00FA02A6" w:rsidP="00FA02A6">
      <w:pPr>
        <w:pStyle w:val="ListParagraph"/>
        <w:numPr>
          <w:ilvl w:val="0"/>
          <w:numId w:val="7"/>
        </w:numPr>
        <w:rPr>
          <w:b/>
          <w:lang w:val="en-US" w:eastAsia="fi-FI"/>
        </w:rPr>
      </w:pPr>
      <w:r w:rsidRPr="00310CCA">
        <w:rPr>
          <w:b/>
          <w:lang w:val="en-US" w:eastAsia="fi-FI"/>
        </w:rPr>
        <w:t>CA_n257(8xA)</w:t>
      </w:r>
      <w:r>
        <w:rPr>
          <w:b/>
          <w:lang w:val="en-US" w:eastAsia="fi-FI"/>
        </w:rPr>
        <w:tab/>
        <w:t xml:space="preserve"> (which is 8 sub-blocks, all one CC)</w:t>
      </w:r>
    </w:p>
    <w:p w14:paraId="05A7E5FE" w14:textId="77777777" w:rsidR="00FA02A6" w:rsidRDefault="00FA02A6" w:rsidP="00FA02A6">
      <w:pPr>
        <w:pStyle w:val="ListParagraph"/>
        <w:numPr>
          <w:ilvl w:val="0"/>
          <w:numId w:val="7"/>
        </w:numPr>
        <w:rPr>
          <w:b/>
          <w:lang w:val="en-US" w:eastAsia="fi-FI"/>
        </w:rPr>
      </w:pPr>
      <w:r w:rsidRPr="009300DC">
        <w:rPr>
          <w:b/>
          <w:lang w:val="en-US" w:eastAsia="fi-FI"/>
        </w:rPr>
        <w:t>CA_n</w:t>
      </w:r>
      <w:r>
        <w:rPr>
          <w:b/>
          <w:lang w:val="en-US" w:eastAsia="fi-FI"/>
        </w:rPr>
        <w:t>257</w:t>
      </w:r>
      <w:r w:rsidRPr="009300DC">
        <w:rPr>
          <w:b/>
          <w:lang w:val="en-US" w:eastAsia="fi-FI"/>
        </w:rPr>
        <w:t xml:space="preserve">(3xA-C) </w:t>
      </w:r>
      <w:r>
        <w:rPr>
          <w:b/>
          <w:lang w:val="en-US" w:eastAsia="fi-FI"/>
        </w:rPr>
        <w:t xml:space="preserve">(which is 4 sub-blocks, three sub-blocks having 1 CC and one sublock having 2 contiguous CC’s and order of cub-blocks is free) </w:t>
      </w:r>
    </w:p>
    <w:p w14:paraId="0A74D7E3" w14:textId="2E9DD6E4" w:rsidR="00310CCA" w:rsidRDefault="00310CCA" w:rsidP="00FA02A6">
      <w:pPr>
        <w:rPr>
          <w:b/>
          <w:lang w:val="en-US" w:eastAsia="fi-FI"/>
        </w:rPr>
      </w:pPr>
    </w:p>
    <w:sectPr w:rsidR="00310CCA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50F3C" w14:textId="77777777" w:rsidR="008E3802" w:rsidRDefault="008E3802" w:rsidP="002B3503">
      <w:pPr>
        <w:spacing w:after="0"/>
      </w:pPr>
      <w:r>
        <w:separator/>
      </w:r>
    </w:p>
  </w:endnote>
  <w:endnote w:type="continuationSeparator" w:id="0">
    <w:p w14:paraId="40AC4E77" w14:textId="77777777" w:rsidR="008E3802" w:rsidRDefault="008E380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77623" w14:textId="77777777" w:rsidR="008E3802" w:rsidRDefault="008E3802" w:rsidP="002B3503">
      <w:pPr>
        <w:spacing w:after="0"/>
      </w:pPr>
      <w:r>
        <w:separator/>
      </w:r>
    </w:p>
  </w:footnote>
  <w:footnote w:type="continuationSeparator" w:id="0">
    <w:p w14:paraId="7F602CB5" w14:textId="77777777" w:rsidR="008E3802" w:rsidRDefault="008E380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360BA"/>
    <w:multiLevelType w:val="hybridMultilevel"/>
    <w:tmpl w:val="F1EEE53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90FC8"/>
    <w:multiLevelType w:val="hybridMultilevel"/>
    <w:tmpl w:val="5FF488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DB7C69"/>
    <w:multiLevelType w:val="hybridMultilevel"/>
    <w:tmpl w:val="2A7EA8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5000E"/>
    <w:rsid w:val="0016131F"/>
    <w:rsid w:val="00214C87"/>
    <w:rsid w:val="00215035"/>
    <w:rsid w:val="00291DDD"/>
    <w:rsid w:val="002A7181"/>
    <w:rsid w:val="002B3503"/>
    <w:rsid w:val="002F6A38"/>
    <w:rsid w:val="00310CCA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B0EFB"/>
    <w:rsid w:val="004C0103"/>
    <w:rsid w:val="004C58F9"/>
    <w:rsid w:val="004D0C67"/>
    <w:rsid w:val="004D3D81"/>
    <w:rsid w:val="005336A2"/>
    <w:rsid w:val="00560A63"/>
    <w:rsid w:val="00564DA2"/>
    <w:rsid w:val="00570B14"/>
    <w:rsid w:val="005B2640"/>
    <w:rsid w:val="005F6CE3"/>
    <w:rsid w:val="00602EB6"/>
    <w:rsid w:val="00641C2E"/>
    <w:rsid w:val="006B3B32"/>
    <w:rsid w:val="006C6840"/>
    <w:rsid w:val="00726265"/>
    <w:rsid w:val="00734EBD"/>
    <w:rsid w:val="00786FE3"/>
    <w:rsid w:val="007D20DF"/>
    <w:rsid w:val="008236E4"/>
    <w:rsid w:val="00850296"/>
    <w:rsid w:val="008A4493"/>
    <w:rsid w:val="008E3802"/>
    <w:rsid w:val="0091383D"/>
    <w:rsid w:val="009300DC"/>
    <w:rsid w:val="00940559"/>
    <w:rsid w:val="00996062"/>
    <w:rsid w:val="009B1E68"/>
    <w:rsid w:val="00A451E8"/>
    <w:rsid w:val="00A6018C"/>
    <w:rsid w:val="00AE6327"/>
    <w:rsid w:val="00B4385F"/>
    <w:rsid w:val="00B65B59"/>
    <w:rsid w:val="00BC764C"/>
    <w:rsid w:val="00C21554"/>
    <w:rsid w:val="00C76DE1"/>
    <w:rsid w:val="00CC1ACD"/>
    <w:rsid w:val="00D275CC"/>
    <w:rsid w:val="00D767C4"/>
    <w:rsid w:val="00D77CF5"/>
    <w:rsid w:val="00D948C5"/>
    <w:rsid w:val="00E33B68"/>
    <w:rsid w:val="00E962C5"/>
    <w:rsid w:val="00EA3488"/>
    <w:rsid w:val="00EB5F7D"/>
    <w:rsid w:val="00EB7F54"/>
    <w:rsid w:val="00EC589F"/>
    <w:rsid w:val="00EE5C58"/>
    <w:rsid w:val="00F97D64"/>
    <w:rsid w:val="00FA02A6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7F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7F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F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F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F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F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F54"/>
    <w:pPr>
      <w:outlineLvl w:val="5"/>
    </w:pPr>
  </w:style>
  <w:style w:type="paragraph" w:styleId="Heading7">
    <w:name w:val="heading 7"/>
    <w:basedOn w:val="H6"/>
    <w:next w:val="Normal"/>
    <w:qFormat/>
    <w:rsid w:val="00EB7F54"/>
    <w:pPr>
      <w:outlineLvl w:val="6"/>
    </w:pPr>
  </w:style>
  <w:style w:type="paragraph" w:styleId="Heading8">
    <w:name w:val="heading 8"/>
    <w:basedOn w:val="Heading1"/>
    <w:next w:val="Normal"/>
    <w:qFormat/>
    <w:rsid w:val="00EB7F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F54"/>
    <w:pPr>
      <w:outlineLvl w:val="8"/>
    </w:pPr>
  </w:style>
  <w:style w:type="character" w:default="1" w:styleId="DefaultParagraphFont">
    <w:name w:val="Default Paragraph Font"/>
    <w:semiHidden/>
    <w:rsid w:val="00EB7F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7F54"/>
  </w:style>
  <w:style w:type="paragraph" w:styleId="TOC8">
    <w:name w:val="toc 8"/>
    <w:basedOn w:val="TOC1"/>
    <w:semiHidden/>
    <w:rsid w:val="00EB7F54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F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B7F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F54"/>
    <w:pPr>
      <w:ind w:left="1701" w:hanging="1701"/>
    </w:pPr>
  </w:style>
  <w:style w:type="paragraph" w:styleId="TOC4">
    <w:name w:val="toc 4"/>
    <w:basedOn w:val="TOC3"/>
    <w:semiHidden/>
    <w:rsid w:val="00EB7F54"/>
    <w:pPr>
      <w:ind w:left="1418" w:hanging="1418"/>
    </w:pPr>
  </w:style>
  <w:style w:type="paragraph" w:styleId="TOC3">
    <w:name w:val="toc 3"/>
    <w:basedOn w:val="TOC2"/>
    <w:semiHidden/>
    <w:rsid w:val="00EB7F54"/>
    <w:pPr>
      <w:ind w:left="1134" w:hanging="1134"/>
    </w:pPr>
  </w:style>
  <w:style w:type="paragraph" w:styleId="TOC2">
    <w:name w:val="toc 2"/>
    <w:basedOn w:val="TOC1"/>
    <w:semiHidden/>
    <w:rsid w:val="00EB7F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F54"/>
    <w:pPr>
      <w:ind w:left="284"/>
    </w:pPr>
  </w:style>
  <w:style w:type="paragraph" w:styleId="Index1">
    <w:name w:val="index 1"/>
    <w:basedOn w:val="Normal"/>
    <w:semiHidden/>
    <w:rsid w:val="00EB7F54"/>
    <w:pPr>
      <w:keepLines/>
      <w:spacing w:after="0"/>
    </w:pPr>
  </w:style>
  <w:style w:type="paragraph" w:customStyle="1" w:styleId="ZH">
    <w:name w:val="ZH"/>
    <w:rsid w:val="00EB7F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F54"/>
    <w:pPr>
      <w:outlineLvl w:val="9"/>
    </w:pPr>
  </w:style>
  <w:style w:type="paragraph" w:styleId="ListNumber2">
    <w:name w:val="List Number 2"/>
    <w:basedOn w:val="ListNumber"/>
    <w:semiHidden/>
    <w:rsid w:val="00EB7F54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B7F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B7F54"/>
    <w:rPr>
      <w:b/>
      <w:position w:val="6"/>
      <w:sz w:val="16"/>
    </w:rPr>
  </w:style>
  <w:style w:type="paragraph" w:styleId="FootnoteText">
    <w:name w:val="footnote text"/>
    <w:basedOn w:val="Normal"/>
    <w:semiHidden/>
    <w:rsid w:val="00EB7F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B7F54"/>
    <w:rPr>
      <w:b/>
    </w:rPr>
  </w:style>
  <w:style w:type="paragraph" w:customStyle="1" w:styleId="TAC">
    <w:name w:val="TAC"/>
    <w:basedOn w:val="TAL"/>
    <w:link w:val="TACChar"/>
    <w:rsid w:val="00EB7F54"/>
    <w:pPr>
      <w:jc w:val="center"/>
    </w:pPr>
  </w:style>
  <w:style w:type="paragraph" w:customStyle="1" w:styleId="TF">
    <w:name w:val="TF"/>
    <w:basedOn w:val="TH"/>
    <w:rsid w:val="00EB7F54"/>
    <w:pPr>
      <w:keepNext w:val="0"/>
      <w:spacing w:before="0" w:after="240"/>
    </w:pPr>
  </w:style>
  <w:style w:type="paragraph" w:customStyle="1" w:styleId="NO">
    <w:name w:val="NO"/>
    <w:basedOn w:val="Normal"/>
    <w:rsid w:val="00EB7F54"/>
    <w:pPr>
      <w:keepLines/>
      <w:ind w:left="1135" w:hanging="851"/>
    </w:pPr>
  </w:style>
  <w:style w:type="paragraph" w:styleId="TOC9">
    <w:name w:val="toc 9"/>
    <w:basedOn w:val="TOC8"/>
    <w:semiHidden/>
    <w:rsid w:val="00EB7F54"/>
    <w:pPr>
      <w:ind w:left="1418" w:hanging="1418"/>
    </w:pPr>
  </w:style>
  <w:style w:type="paragraph" w:customStyle="1" w:styleId="EX">
    <w:name w:val="EX"/>
    <w:basedOn w:val="Normal"/>
    <w:rsid w:val="00EB7F54"/>
    <w:pPr>
      <w:keepLines/>
      <w:ind w:left="1702" w:hanging="1418"/>
    </w:pPr>
  </w:style>
  <w:style w:type="paragraph" w:customStyle="1" w:styleId="FP">
    <w:name w:val="FP"/>
    <w:basedOn w:val="Normal"/>
    <w:rsid w:val="00EB7F54"/>
    <w:pPr>
      <w:spacing w:after="0"/>
    </w:pPr>
  </w:style>
  <w:style w:type="paragraph" w:customStyle="1" w:styleId="LD">
    <w:name w:val="LD"/>
    <w:rsid w:val="00EB7F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F54"/>
    <w:pPr>
      <w:spacing w:after="0"/>
    </w:pPr>
  </w:style>
  <w:style w:type="paragraph" w:customStyle="1" w:styleId="EW">
    <w:name w:val="EW"/>
    <w:basedOn w:val="EX"/>
    <w:rsid w:val="00EB7F54"/>
    <w:pPr>
      <w:spacing w:after="0"/>
    </w:pPr>
  </w:style>
  <w:style w:type="paragraph" w:styleId="TOC6">
    <w:name w:val="toc 6"/>
    <w:basedOn w:val="TOC5"/>
    <w:next w:val="Normal"/>
    <w:semiHidden/>
    <w:rsid w:val="00EB7F54"/>
    <w:pPr>
      <w:ind w:left="1985" w:hanging="1985"/>
    </w:pPr>
  </w:style>
  <w:style w:type="paragraph" w:styleId="TOC7">
    <w:name w:val="toc 7"/>
    <w:basedOn w:val="TOC6"/>
    <w:next w:val="Normal"/>
    <w:semiHidden/>
    <w:rsid w:val="00EB7F54"/>
    <w:pPr>
      <w:ind w:left="2268" w:hanging="2268"/>
    </w:pPr>
  </w:style>
  <w:style w:type="paragraph" w:styleId="ListBullet2">
    <w:name w:val="List Bullet 2"/>
    <w:basedOn w:val="ListBullet"/>
    <w:semiHidden/>
    <w:rsid w:val="00EB7F54"/>
    <w:pPr>
      <w:ind w:left="851"/>
    </w:pPr>
  </w:style>
  <w:style w:type="paragraph" w:styleId="ListBullet3">
    <w:name w:val="List Bullet 3"/>
    <w:basedOn w:val="ListBullet2"/>
    <w:semiHidden/>
    <w:rsid w:val="00EB7F54"/>
    <w:pPr>
      <w:ind w:left="1135"/>
    </w:pPr>
  </w:style>
  <w:style w:type="paragraph" w:styleId="ListNumber">
    <w:name w:val="List Number"/>
    <w:basedOn w:val="List"/>
    <w:semiHidden/>
    <w:rsid w:val="00EB7F54"/>
  </w:style>
  <w:style w:type="paragraph" w:customStyle="1" w:styleId="EQ">
    <w:name w:val="EQ"/>
    <w:basedOn w:val="Normal"/>
    <w:next w:val="Normal"/>
    <w:rsid w:val="00EB7F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F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F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F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F54"/>
    <w:pPr>
      <w:jc w:val="right"/>
    </w:pPr>
  </w:style>
  <w:style w:type="paragraph" w:customStyle="1" w:styleId="H6">
    <w:name w:val="H6"/>
    <w:basedOn w:val="Heading5"/>
    <w:next w:val="Normal"/>
    <w:rsid w:val="00EB7F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F54"/>
    <w:pPr>
      <w:ind w:left="851" w:hanging="851"/>
    </w:pPr>
  </w:style>
  <w:style w:type="paragraph" w:customStyle="1" w:styleId="TAL">
    <w:name w:val="TAL"/>
    <w:basedOn w:val="Normal"/>
    <w:rsid w:val="00EB7F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B7F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F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F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F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F54"/>
    <w:pPr>
      <w:framePr w:wrap="notBeside" w:y="16161"/>
    </w:pPr>
  </w:style>
  <w:style w:type="character" w:customStyle="1" w:styleId="ZGSM">
    <w:name w:val="ZGSM"/>
    <w:rsid w:val="00EB7F54"/>
  </w:style>
  <w:style w:type="paragraph" w:styleId="List2">
    <w:name w:val="List 2"/>
    <w:basedOn w:val="List"/>
    <w:semiHidden/>
    <w:rsid w:val="00EB7F54"/>
    <w:pPr>
      <w:ind w:left="851"/>
    </w:pPr>
  </w:style>
  <w:style w:type="paragraph" w:customStyle="1" w:styleId="ZG">
    <w:name w:val="ZG"/>
    <w:rsid w:val="00EB7F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B7F54"/>
    <w:pPr>
      <w:ind w:left="1135"/>
    </w:pPr>
  </w:style>
  <w:style w:type="paragraph" w:styleId="List4">
    <w:name w:val="List 4"/>
    <w:basedOn w:val="List3"/>
    <w:semiHidden/>
    <w:rsid w:val="00EB7F54"/>
    <w:pPr>
      <w:ind w:left="1418"/>
    </w:pPr>
  </w:style>
  <w:style w:type="paragraph" w:styleId="List5">
    <w:name w:val="List 5"/>
    <w:basedOn w:val="List4"/>
    <w:semiHidden/>
    <w:rsid w:val="00EB7F54"/>
    <w:pPr>
      <w:ind w:left="1702"/>
    </w:pPr>
  </w:style>
  <w:style w:type="paragraph" w:customStyle="1" w:styleId="EditorsNote">
    <w:name w:val="Editor's Note"/>
    <w:basedOn w:val="NO"/>
    <w:rsid w:val="00EB7F54"/>
    <w:rPr>
      <w:color w:val="FF0000"/>
    </w:rPr>
  </w:style>
  <w:style w:type="paragraph" w:styleId="List">
    <w:name w:val="List"/>
    <w:basedOn w:val="Normal"/>
    <w:semiHidden/>
    <w:rsid w:val="00EB7F54"/>
    <w:pPr>
      <w:ind w:left="568" w:hanging="284"/>
    </w:pPr>
  </w:style>
  <w:style w:type="paragraph" w:styleId="ListBullet">
    <w:name w:val="List Bullet"/>
    <w:basedOn w:val="List"/>
    <w:semiHidden/>
    <w:rsid w:val="00EB7F54"/>
  </w:style>
  <w:style w:type="paragraph" w:styleId="ListBullet4">
    <w:name w:val="List Bullet 4"/>
    <w:basedOn w:val="ListBullet3"/>
    <w:semiHidden/>
    <w:rsid w:val="00EB7F54"/>
    <w:pPr>
      <w:ind w:left="1418"/>
    </w:pPr>
  </w:style>
  <w:style w:type="paragraph" w:styleId="ListBullet5">
    <w:name w:val="List Bullet 5"/>
    <w:basedOn w:val="ListBullet4"/>
    <w:semiHidden/>
    <w:rsid w:val="00EB7F54"/>
    <w:pPr>
      <w:ind w:left="1702"/>
    </w:pPr>
  </w:style>
  <w:style w:type="paragraph" w:customStyle="1" w:styleId="B1">
    <w:name w:val="B1"/>
    <w:basedOn w:val="List"/>
    <w:rsid w:val="00EB7F54"/>
  </w:style>
  <w:style w:type="paragraph" w:customStyle="1" w:styleId="B2">
    <w:name w:val="B2"/>
    <w:basedOn w:val="List2"/>
    <w:rsid w:val="00EB7F54"/>
  </w:style>
  <w:style w:type="paragraph" w:customStyle="1" w:styleId="B3">
    <w:name w:val="B3"/>
    <w:basedOn w:val="List3"/>
    <w:rsid w:val="00EB7F54"/>
  </w:style>
  <w:style w:type="paragraph" w:customStyle="1" w:styleId="B4">
    <w:name w:val="B4"/>
    <w:basedOn w:val="List4"/>
    <w:rsid w:val="00EB7F54"/>
  </w:style>
  <w:style w:type="paragraph" w:customStyle="1" w:styleId="B5">
    <w:name w:val="B5"/>
    <w:basedOn w:val="List5"/>
    <w:rsid w:val="00EB7F54"/>
  </w:style>
  <w:style w:type="paragraph" w:styleId="Footer">
    <w:name w:val="footer"/>
    <w:basedOn w:val="Header"/>
    <w:semiHidden/>
    <w:rsid w:val="00EB7F54"/>
    <w:pPr>
      <w:jc w:val="center"/>
    </w:pPr>
    <w:rPr>
      <w:i/>
    </w:rPr>
  </w:style>
  <w:style w:type="paragraph" w:customStyle="1" w:styleId="ZTD">
    <w:name w:val="ZTD"/>
    <w:basedOn w:val="ZB"/>
    <w:rsid w:val="00EB7F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4</cp:revision>
  <cp:lastPrinted>1899-12-31T22:00:00Z</cp:lastPrinted>
  <dcterms:created xsi:type="dcterms:W3CDTF">2018-04-05T15:32:00Z</dcterms:created>
  <dcterms:modified xsi:type="dcterms:W3CDTF">2018-04-05T15:33:00Z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Ref">
    <vt:lpwstr>https://api.informationprotection.azure.com/api/5d471751-9675-428d-917b-70f44f9630b0</vt:lpwstr>
  </property>
  <property fmtid="{D5CDD505-2E9C-101B-9397-08002B2CF9AE}" pid="5" name="MSIP_Label_b1aa2129-79ec-42c0-bfac-e5b7a0374572_Owner">
    <vt:lpwstr>petri.j.vasenkari@nokia.com</vt:lpwstr>
  </property>
  <property fmtid="{D5CDD505-2E9C-101B-9397-08002B2CF9AE}" pid="6" name="MSIP_Label_b1aa2129-79ec-42c0-bfac-e5b7a0374572_SetDate">
    <vt:lpwstr>2018-03-22T12:50:45.3596383+02:00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